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07" w:rsidRPr="00913A07" w:rsidRDefault="00913A07" w:rsidP="00913A07">
      <w:pPr>
        <w:pBdr>
          <w:bottom w:val="single" w:sz="6" w:space="4" w:color="CCCCCC"/>
        </w:pBdr>
        <w:shd w:val="clear" w:color="auto" w:fill="FFFFFF"/>
        <w:spacing w:after="120" w:line="240" w:lineRule="auto"/>
        <w:ind w:left="480"/>
        <w:outlineLvl w:val="0"/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</w:pPr>
      <w:r w:rsidRPr="00913A07"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  <w:t>Лабораторное занятие №6 «Анализ проектных рисков методом «дерева решений» (1 час)</w:t>
      </w:r>
    </w:p>
    <w:p w:rsidR="00913A07" w:rsidRPr="00913A07" w:rsidRDefault="00913A07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Когда на практике нужно принять несколько решений в условиях неопределенности, когда каждое решение зависит от исхода предыдущего решения или исходов испытаний, то применяют схему, называемую деревом решений.</w:t>
      </w:r>
    </w:p>
    <w:p w:rsidR="00913A07" w:rsidRPr="00913A07" w:rsidRDefault="00913A07" w:rsidP="00913A07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i/>
          <w:iCs/>
          <w:color w:val="333333"/>
          <w:sz w:val="26"/>
          <w:szCs w:val="26"/>
          <w:lang w:eastAsia="ru-RU"/>
        </w:rPr>
        <w:t>Дерево решений</w:t>
      </w: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 это графическое изображение процесса принятия решений, в котором отражены альтернативные решения, альтернативные состояния среды, соответствующие вероятности и выигрыши для любых комбинаций альтернатив и состояний среды.</w:t>
      </w:r>
    </w:p>
    <w:p w:rsidR="00913A07" w:rsidRPr="00913A07" w:rsidRDefault="00913A07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Рисуют дерево слева направо. </w:t>
      </w:r>
      <w:proofErr w:type="gramStart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Места, где принимаются решения, обозначают квадратами; места проявления исходов – кругами; возможные решения – пунктирными линиями; возможные исходы – сплошными линиями.</w:t>
      </w:r>
      <w:proofErr w:type="gramEnd"/>
    </w:p>
    <w:p w:rsidR="00913A07" w:rsidRPr="00913A07" w:rsidRDefault="00913A07" w:rsidP="00913A07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Для каждой альтернативы считается </w:t>
      </w:r>
      <w:r w:rsidRPr="00913A07">
        <w:rPr>
          <w:rFonts w:ascii="Roboto" w:eastAsia="Times New Roman" w:hAnsi="Roboto" w:cs="Times New Roman"/>
          <w:i/>
          <w:iCs/>
          <w:color w:val="333333"/>
          <w:sz w:val="26"/>
          <w:szCs w:val="26"/>
          <w:lang w:eastAsia="ru-RU"/>
        </w:rPr>
        <w:t>ожидаемая стоимостная оценка (EMV)</w:t>
      </w: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 максимальная из суммы оценок выигрышей, умноженных на вероятность реализации выигрышей, для всех возможных вариантов.</w:t>
      </w:r>
    </w:p>
    <w:p w:rsidR="00913A07" w:rsidRPr="00913A07" w:rsidRDefault="00913A07" w:rsidP="00913A07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u w:val="single"/>
          <w:lang w:eastAsia="ru-RU"/>
        </w:rPr>
        <w:t>Задача 1</w:t>
      </w:r>
    </w:p>
    <w:p w:rsidR="00913A07" w:rsidRPr="00913A07" w:rsidRDefault="00913A07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Предприятие рассматривает вопрос о выпуске нового товара на рынок. Вероятность успеха рекламной компании оценивается в 80%. В случае успешной рекламной компании вероятность успешного выпуска нового товара на рынок составляет 60%. В случае неудачной рекламной компании вероятность успешного выпуска нового товара на рынок оценивается в 30%.</w:t>
      </w:r>
    </w:p>
    <w:p w:rsidR="00913A07" w:rsidRDefault="00913A07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Определить вероятность успешного выпуска нового товара на рынок, используя дерево вероятностей.</w:t>
      </w:r>
    </w:p>
    <w:p w:rsidR="008C3363" w:rsidRPr="008C3363" w:rsidRDefault="008C3363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b/>
          <w:color w:val="333333"/>
          <w:sz w:val="26"/>
          <w:szCs w:val="26"/>
          <w:lang w:eastAsia="ru-RU"/>
        </w:rPr>
      </w:pPr>
      <w:r w:rsidRPr="008C3363">
        <w:rPr>
          <w:rFonts w:ascii="Roboto" w:eastAsia="Times New Roman" w:hAnsi="Roboto" w:cs="Times New Roman"/>
          <w:b/>
          <w:color w:val="333333"/>
          <w:sz w:val="26"/>
          <w:szCs w:val="26"/>
          <w:lang w:eastAsia="ru-RU"/>
        </w:rPr>
        <w:t>Решение:</w:t>
      </w:r>
    </w:p>
    <w:p w:rsidR="008C3363" w:rsidRPr="008C3363" w:rsidRDefault="008C3363" w:rsidP="008C3363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Как следует из условия, есть два вероятных решения: успех или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неудача рекламной кампании. Поэтому дерево вероятностей содержит два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уровня вершин. Так как каждый раз возможны два исхода, то из каждой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вершины выходят две ветви. Дерево вероятностей рисуют слева направо. Опыты обозначаются в виде кругов, а каждый исход – сплошной линией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(ветвью), идущей от соответствующего круга. Около каждой ветви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указывается вероятность соответствующего исхода. Над каждой ветвью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пишем название соответствующего исхода, а под ветвью – вероятность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появл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ения этого исхода</w:t>
      </w: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. </w:t>
      </w:r>
    </w:p>
    <w:p w:rsidR="008C3363" w:rsidRDefault="008C3363" w:rsidP="008C3363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Сумма вероятностей на ветвях, выходящих из одного круга, равна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единице. Двигаясь по ветвям и перемножая соответствующие вероятности, 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в конце пути мы получаем вероятность события с различными исходами. 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</w:t>
      </w: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Сложив нужные вероятности, найдем вероятность искомого события.</w:t>
      </w:r>
    </w:p>
    <w:p w:rsidR="008C3363" w:rsidRDefault="008C3363" w:rsidP="008C3363">
      <w:pPr>
        <w:shd w:val="clear" w:color="auto" w:fill="FFFFFF"/>
        <w:spacing w:after="240" w:line="336" w:lineRule="atLeast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5819775" cy="3305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363" w:rsidRPr="00913A07" w:rsidRDefault="008C3363" w:rsidP="008C3363">
      <w:pPr>
        <w:shd w:val="clear" w:color="auto" w:fill="FFFFFF"/>
        <w:spacing w:after="240" w:line="336" w:lineRule="atLeast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ab/>
      </w: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Нас интересует, когда выход това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ра на рынок будет успешным. Для </w:t>
      </w: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этого нужно сложить вероятности те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х событий, для которых возможен </w:t>
      </w: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успешный результат: 0,8 × 0,6 + 0,2 × 0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,3 = 0,54. То есть, вероятность </w:t>
      </w: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успеха товара при разрабатываемой рекламной компании равна 54%.</w:t>
      </w:r>
    </w:p>
    <w:p w:rsidR="00913A07" w:rsidRPr="00913A07" w:rsidRDefault="00913A07" w:rsidP="00913A07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u w:val="single"/>
          <w:lang w:eastAsia="ru-RU"/>
        </w:rPr>
        <w:t>Задача 2</w:t>
      </w:r>
    </w:p>
    <w:p w:rsidR="00913A07" w:rsidRPr="00913A07" w:rsidRDefault="00913A07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 оценкам отдела маркетинга, вероятность роста объема продаж предприятия в ближайшее время равна 70%. Из прошлого опыта известно, что положительные прогнозы отдела маркетинга сбываются в 85% случаях, а отрицательные – в 90% случаях.</w:t>
      </w:r>
    </w:p>
    <w:p w:rsidR="00913A07" w:rsidRDefault="00913A07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Определить вероятность роста объема продаж предприятия, используя дерево вероятностей.</w:t>
      </w:r>
    </w:p>
    <w:p w:rsidR="008C3363" w:rsidRPr="008C3363" w:rsidRDefault="008C3363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b/>
          <w:color w:val="333333"/>
          <w:sz w:val="26"/>
          <w:szCs w:val="26"/>
          <w:lang w:eastAsia="ru-RU"/>
        </w:rPr>
      </w:pPr>
      <w:r w:rsidRPr="008C3363">
        <w:rPr>
          <w:rFonts w:ascii="Roboto" w:eastAsia="Times New Roman" w:hAnsi="Roboto" w:cs="Times New Roman"/>
          <w:b/>
          <w:color w:val="333333"/>
          <w:sz w:val="26"/>
          <w:szCs w:val="26"/>
          <w:lang w:eastAsia="ru-RU"/>
        </w:rPr>
        <w:t>Решение:</w:t>
      </w:r>
    </w:p>
    <w:p w:rsidR="008C3363" w:rsidRPr="008C3363" w:rsidRDefault="008C3363" w:rsidP="008C3363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Провели два опыта:</w:t>
      </w:r>
    </w:p>
    <w:p w:rsidR="008C3363" w:rsidRPr="008C3363" w:rsidRDefault="008C3363" w:rsidP="008C3363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1) прогноз отдела маркетинга;</w:t>
      </w:r>
    </w:p>
    <w:p w:rsidR="008C3363" w:rsidRPr="008C3363" w:rsidRDefault="008C3363" w:rsidP="008C3363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2) наблюдение за объемом продаж.</w:t>
      </w:r>
    </w:p>
    <w:p w:rsidR="008C3363" w:rsidRDefault="008C3363" w:rsidP="008C3363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Поэтому дерево вероятностей содержит два уровня вершин. Так как каждый раз возможны два исхода, то из каждой вершины выходят две ветви. Над каждой ветвью пишем название соответствующего исхода, а под ветвью — вероятность появления этого исхода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:rsidR="008C3363" w:rsidRDefault="008C3363" w:rsidP="008C3363">
      <w:pPr>
        <w:shd w:val="clear" w:color="auto" w:fill="FFFFFF"/>
        <w:spacing w:after="240" w:line="336" w:lineRule="atLeast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5067300" cy="2219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363" w:rsidRPr="00913A07" w:rsidRDefault="008C3363" w:rsidP="008C3363">
      <w:pPr>
        <w:shd w:val="clear" w:color="auto" w:fill="FFFFFF"/>
        <w:spacing w:after="240" w:line="336" w:lineRule="atLeast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ab/>
      </w:r>
      <w:r w:rsidRPr="008C3363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Нас интересует рост объема продаж на самом деле. Надо сложить вероятности тех событий, у которых на последнем месте написано «рост»: 0,7x0,85 + 0,3x0,1 = 0,625.</w:t>
      </w:r>
    </w:p>
    <w:p w:rsidR="00913A07" w:rsidRPr="00913A07" w:rsidRDefault="00913A07" w:rsidP="00913A07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u w:val="single"/>
          <w:lang w:eastAsia="ru-RU"/>
        </w:rPr>
        <w:t>Задача 3</w:t>
      </w:r>
    </w:p>
    <w:p w:rsidR="00913A07" w:rsidRPr="00913A07" w:rsidRDefault="00913A07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Главному инженеру компании надо решить, монтировать или нет новую производственную линию, использующую новейшую технологию. Если новая линия будет работать безотказно, компания получит прибыль 200 </w:t>
      </w:r>
      <w:proofErr w:type="spellStart"/>
      <w:proofErr w:type="gramStart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млн</w:t>
      </w:r>
      <w:proofErr w:type="spellEnd"/>
      <w:proofErr w:type="gramEnd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руб. Если же она откажет, компания может потерять 150 </w:t>
      </w:r>
      <w:proofErr w:type="spellStart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млн</w:t>
      </w:r>
      <w:proofErr w:type="spellEnd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рублей. По оценкам главного инженера существует 60% шансов, что новая производственная линия откажет. Можно создать экспериментальную установку, а затем уже решать, монтировать или нет производственную линию. Эксперимент обойдется в 10 </w:t>
      </w:r>
      <w:proofErr w:type="spellStart"/>
      <w:proofErr w:type="gramStart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млн</w:t>
      </w:r>
      <w:proofErr w:type="spellEnd"/>
      <w:proofErr w:type="gramEnd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рублей. Главный инженер считает, что существует 50% шансов, что экспериментальная установка будет работать. Если она будет работать, то 90% шансов за то, что смонтированная производственная линия также будет работать. Если же экспериментальная установка не будет работать, то только 20% шансов за то, что и производственная линия заработает.</w:t>
      </w:r>
    </w:p>
    <w:p w:rsidR="00913A07" w:rsidRDefault="00913A07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val="en-US"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Используйте дерево решений, чтобы помочь предпринимателю принять решение. Следует ли строить экспериментальную установку? Следует ли монтировать производственную линию? Какова ожидаемая стоимостная оценка наилучшего решения?</w:t>
      </w:r>
    </w:p>
    <w:p w:rsidR="008C3363" w:rsidRDefault="008C3363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40403" cy="2257425"/>
            <wp:effectExtent l="19050" t="0" r="2847" b="0"/>
            <wp:docPr id="7" name="Рисунок 1" descr="Дерево реш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ево реше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169" cy="22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363" w:rsidRPr="008C3363" w:rsidRDefault="008C3363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Рисунок 1</w:t>
      </w:r>
      <w:proofErr w:type="gram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ab/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br/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br/>
        <w:t>В</w:t>
      </w:r>
      <w:proofErr w:type="gram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узле F возможны исходы «линия работает» с вероятностью 0,4 (что приносит прибыль 200) и «линия не работает» с вероятностью 0,6 (что приносит убыток -150) =&gt; оценка узла F. EMV</w:t>
      </w:r>
      <w:proofErr w:type="gram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( </w:t>
      </w:r>
      <w:proofErr w:type="gram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F) = 0,4 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x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200 + 0,6 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х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( -150) = -10. Это число мы пишем над узлом F.</w:t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ab/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br/>
        <w:t>EMV(G) = 0.</w:t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ab/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br/>
        <w:t>В узле 4 мы выбираем между решением «монтируем линию» (оценка этого решения EMV</w:t>
      </w:r>
      <w:proofErr w:type="gram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( </w:t>
      </w:r>
      <w:proofErr w:type="gram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F) = -10) и решением «не монтируем линию» (оценка этого решения EMV(G) = 0): EMV(4) = 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max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{EMV</w:t>
      </w:r>
      <w:proofErr w:type="gram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( </w:t>
      </w:r>
      <w:proofErr w:type="gram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F), EMV(G)} = 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max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{-10, 0} = 0 = EMV(G). Эту оценку мы пишем над узлом 4, а решение «монтируем линию» отбрасыв</w:t>
      </w:r>
      <w:r w:rsid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аем и зачеркиваем.</w:t>
      </w:r>
      <w:r w:rsid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br/>
        <w:t>Аналогично:</w:t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br/>
        <w:t>EMV</w:t>
      </w:r>
      <w:proofErr w:type="gram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( </w:t>
      </w:r>
      <w:proofErr w:type="gram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B) = 0,9 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х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200 + 0,1 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х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(-150) = 180 - 15 = 165.</w:t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ab/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br/>
        <w:t>EMV(С) = 0.</w:t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ab/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br/>
      </w:r>
      <w:proofErr w:type="gram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EMV(2) = 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max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{EMV(В), EMV(С} = 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max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{165, 0} = 165 = EMV(5).</w:t>
      </w:r>
      <w:proofErr w:type="gram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Поэтому в узле 2 отбрасываем возможное решение «не монтируем линию».</w:t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ab/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br/>
        <w:t xml:space="preserve">EM V(D) = 0,2 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х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200 + 0,8 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х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(-150) = 40 — 120 = -80.</w:t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ab/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br/>
        <w:t>EMV</w:t>
      </w:r>
      <w:proofErr w:type="gram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( </w:t>
      </w:r>
      <w:proofErr w:type="gram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E) = 0.</w:t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ab/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br/>
        <w:t xml:space="preserve">EMV(3) = 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max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{EMV(D), EMV(E)} = 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max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{-80, 0} = 0 = EMV</w:t>
      </w:r>
      <w:proofErr w:type="gram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( </w:t>
      </w:r>
      <w:proofErr w:type="gram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E). Поэтому в узле 3 отбрасываем возможное решение «монтируем линию».</w:t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ab/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br/>
        <w:t>ЕМ V</w:t>
      </w:r>
      <w:proofErr w:type="gram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( </w:t>
      </w:r>
      <w:proofErr w:type="gram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A) = 0,5 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х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165 + 0,5 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х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0 — 10 = 72,5.</w:t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ab/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br/>
        <w:t>EMV(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l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) = 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max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{EMV(A), EMV(4)} = 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max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{72,5; 0} = 72,5 = EMV</w:t>
      </w:r>
      <w:proofErr w:type="gram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( </w:t>
      </w:r>
      <w:proofErr w:type="gram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A). Поэтому в узле 1 отбрасываем возможное решение «не строим установку».</w:t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ab/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br/>
        <w:t xml:space="preserve">Ожидаемая стоимостная оценка наилучшего решения равна 72,5 млн. 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грн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 Строим установку. Если установка работает, то монтируем линию. Если установка не работает, то линию монтировать не надо.</w:t>
      </w:r>
    </w:p>
    <w:p w:rsidR="00913A07" w:rsidRPr="00913A07" w:rsidRDefault="00913A07" w:rsidP="00913A07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u w:val="single"/>
          <w:lang w:eastAsia="ru-RU"/>
        </w:rPr>
        <w:t>Задача 4</w:t>
      </w:r>
    </w:p>
    <w:p w:rsidR="00913A07" w:rsidRPr="00913A07" w:rsidRDefault="00913A07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Предприниматель провел анализ, связанный с открытием магазина. Если он откроет большой магазин, то при благоприятном состоянии рынка получит прибыль 60 </w:t>
      </w:r>
      <w:proofErr w:type="spellStart"/>
      <w:proofErr w:type="gramStart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млн</w:t>
      </w:r>
      <w:proofErr w:type="spellEnd"/>
      <w:proofErr w:type="gramEnd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рублей, при неблагоприятном – понесет убытки 40 </w:t>
      </w:r>
      <w:proofErr w:type="spellStart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млн</w:t>
      </w:r>
      <w:proofErr w:type="spellEnd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 рублей. </w:t>
      </w: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Маленький магазин принесет ему 30 </w:t>
      </w:r>
      <w:proofErr w:type="spellStart"/>
      <w:proofErr w:type="gramStart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млн</w:t>
      </w:r>
      <w:proofErr w:type="spellEnd"/>
      <w:proofErr w:type="gramEnd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рублей прибыли при благоприятном состоянии рынка и 10 </w:t>
      </w:r>
      <w:proofErr w:type="spellStart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млн</w:t>
      </w:r>
      <w:proofErr w:type="spellEnd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 рублей убытка при неблагоприятном. Возможность благоприятного и неблагоприятного </w:t>
      </w:r>
      <w:proofErr w:type="gramStart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состоянии</w:t>
      </w:r>
      <w:proofErr w:type="gramEnd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рынка он оценивает одинаково. Исследование рынка, которое может провести специалист, обойдется предпринимателю в 5 </w:t>
      </w:r>
      <w:proofErr w:type="spellStart"/>
      <w:proofErr w:type="gramStart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млн</w:t>
      </w:r>
      <w:proofErr w:type="spellEnd"/>
      <w:proofErr w:type="gramEnd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рублей. Специалист считает, что с вероятностью 60% состояние рынка окажется благоприятным. В то же время при положительном заключении состояние рынка окажется благоприятным с вероятностью лишь 90%. При отрицательном заключении с вероятностью 12% состояние рынка может оказаться благоприятным.</w:t>
      </w:r>
    </w:p>
    <w:p w:rsidR="00913A07" w:rsidRDefault="00913A07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Используйте дерево решений, чтобы помочь предпринимателю принять решение. Следует ли заказать проведение обследования состояния рынка? Следует ли открыть большой магазин? Какова ожидаемая стоимостная оценка наилучшего решения?</w:t>
      </w:r>
    </w:p>
    <w:p w:rsidR="00A7193D" w:rsidRPr="00A7193D" w:rsidRDefault="00A7193D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b/>
          <w:color w:val="333333"/>
          <w:sz w:val="26"/>
          <w:szCs w:val="26"/>
          <w:lang w:eastAsia="ru-RU"/>
        </w:rPr>
      </w:pPr>
      <w:r w:rsidRPr="00A7193D">
        <w:rPr>
          <w:rFonts w:ascii="Roboto" w:eastAsia="Times New Roman" w:hAnsi="Roboto" w:cs="Times New Roman"/>
          <w:b/>
          <w:color w:val="333333"/>
          <w:sz w:val="26"/>
          <w:szCs w:val="26"/>
          <w:lang w:eastAsia="ru-RU"/>
        </w:rPr>
        <w:t>Решение:</w:t>
      </w:r>
    </w:p>
    <w:p w:rsidR="00A7193D" w:rsidRDefault="00A7193D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</w:t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еобходимо построить «дерево решений» с учетом правила «слева 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направо». </w:t>
      </w:r>
      <w:proofErr w:type="gram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Единица</w:t>
      </w:r>
      <w:proofErr w:type="gram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напечатанная в квадрате — это узел решения, в котором предприниматель определяет, заказывать или не заказывать исследование у специалиста. Цифры 2, 3 и 4 — это узлы решений, в которых выбирается вариант открытия большого или маленького магазина по условиям задачи. От узлов решения проведены ребра в виде пунктирных линий к узлам исходов, на которых подписаны варианты решений. Сами узлы исходов нарисованы кругами, внутри которых написаны латинские буквы</w:t>
      </w:r>
      <w:proofErr w:type="gram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А</w:t>
      </w:r>
      <w:proofErr w:type="gram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, В, С, D, Е, 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Fи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G. От каждого такого узла выходят две сплошные линии, обозначающие вероятности исходов при благоприятном и неблагоприятном прогнозах рынка с их денежными выражениями. Сам расчет ожидаемой стоимостной оценки производится справа налево.</w:t>
      </w:r>
    </w:p>
    <w:p w:rsidR="00A7193D" w:rsidRDefault="00A7193D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4010025" cy="4576843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630" cy="457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93D" w:rsidRDefault="00A7193D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</w:t>
      </w: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ассчитаем ожидаемую стоимостную оценку для узлов исходов</w:t>
      </w:r>
      <w:proofErr w:type="gram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В</w:t>
      </w:r>
      <w:proofErr w:type="gram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, С, D, Е, F и G</w:t>
      </w:r>
      <w:r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:</w:t>
      </w:r>
    </w:p>
    <w:p w:rsidR="00A7193D" w:rsidRDefault="00A7193D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38475" cy="809625"/>
            <wp:effectExtent l="19050" t="0" r="9525" b="0"/>
            <wp:docPr id="13" name="Рисунок 13" descr="https://bstudy.net/htm/img/21/12947/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study.net/htm/img/21/12947/8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93D" w:rsidRDefault="00A7193D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95600" cy="790575"/>
            <wp:effectExtent l="19050" t="0" r="0" b="0"/>
            <wp:docPr id="16" name="Рисунок 16" descr="https://bstudy.net/htm/img/21/12947/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bstudy.net/htm/img/21/12947/8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93D" w:rsidRDefault="00A7193D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Далее в узлах 2,3 и 4 выбираем максимальное решение по стоимостной оценке открытия большого или маленького магазина:</w:t>
      </w:r>
    </w:p>
    <w:p w:rsidR="00A7193D" w:rsidRDefault="00A7193D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29075" cy="847725"/>
            <wp:effectExtent l="19050" t="0" r="9525" b="0"/>
            <wp:docPr id="25" name="Рисунок 25" descr="https://bstudy.net/htm/img/21/12947/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bstudy.net/htm/img/21/12947/8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93D" w:rsidRDefault="00A7193D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 xml:space="preserve">После определения максимальных значений в узлах 2 и 3 появляется возможность рассчитать ожидаемую стоимостную оценку в узле Л с учетом затрат на исследование в размере 5 </w:t>
      </w:r>
      <w:proofErr w:type="spellStart"/>
      <w:proofErr w:type="gram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млн</w:t>
      </w:r>
      <w:proofErr w:type="spellEnd"/>
      <w:proofErr w:type="gram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руб.:</w:t>
      </w:r>
    </w:p>
    <w:p w:rsidR="00A7193D" w:rsidRDefault="00A7193D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86100" cy="276225"/>
            <wp:effectExtent l="19050" t="0" r="0" b="0"/>
            <wp:docPr id="28" name="Рисунок 28" descr="https://bstudy.net/htm/img/21/12947/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bstudy.net/htm/img/21/12947/8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93D" w:rsidRDefault="00A7193D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Последний узел номер один будет иметь следующее решение:</w:t>
      </w:r>
    </w:p>
    <w:p w:rsidR="00A7193D" w:rsidRDefault="00A7193D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57650" cy="333375"/>
            <wp:effectExtent l="19050" t="0" r="0" b="0"/>
            <wp:docPr id="31" name="Рисунок 31" descr="https://bstudy.net/htm/img/21/12947/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bstudy.net/htm/img/21/12947/8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93D" w:rsidRPr="00913A07" w:rsidRDefault="00A7193D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Таким образом, предпринимателю следует заказать исследование рынка у специалиста и заплатить 5 </w:t>
      </w:r>
      <w:proofErr w:type="spellStart"/>
      <w:proofErr w:type="gram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млн</w:t>
      </w:r>
      <w:proofErr w:type="spellEnd"/>
      <w:proofErr w:type="gram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руб. Тогда при благоприятном рынке следует открыть большой магазин и ожидаемая стоимостная оценка составит 22,92 </w:t>
      </w:r>
      <w:proofErr w:type="spellStart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млн</w:t>
      </w:r>
      <w:proofErr w:type="spellEnd"/>
      <w:r w:rsidRPr="00A7193D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руб. Если рынок будет неблагоприятным, предпринимателю рекомендуется отказаться от идеи открытия какого-либо магазина для исключения потенциальных убытков.</w:t>
      </w:r>
    </w:p>
    <w:p w:rsidR="00913A07" w:rsidRPr="00913A07" w:rsidRDefault="00913A07" w:rsidP="00913A07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u w:val="single"/>
          <w:lang w:eastAsia="ru-RU"/>
        </w:rPr>
        <w:t>Задача 5</w:t>
      </w:r>
    </w:p>
    <w:p w:rsidR="00913A07" w:rsidRPr="00913A07" w:rsidRDefault="00913A07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Нефтегазовая компания производит оценку целесообразности проведения геологоразведочных работ на нефть и газ на некоторой структуре, на которой предполагается возможность открытия месторождения углеводородного сырья (нефти или газа). Первым шагом компании является проведение поисковых работ на нефть и газ или отказ от него. На втором шаге возникает альтернатива передать права на глубокое разведочное бурение (разведку) другой компании или проводить его самой.</w:t>
      </w:r>
    </w:p>
    <w:p w:rsidR="00913A07" w:rsidRPr="00913A07" w:rsidRDefault="00913A07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Очевидно, что эти два варианта принесут компании разные доходы в зависимости от действия принятого на первой стадии, то есть будут или </w:t>
      </w:r>
      <w:proofErr w:type="gramStart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нет</w:t>
      </w:r>
      <w:proofErr w:type="gramEnd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проводится поисковые работы, а также в зависимости от результатов поисковых работ, если компания решит их проводить.</w:t>
      </w:r>
    </w:p>
    <w:p w:rsidR="00913A07" w:rsidRPr="00913A07" w:rsidRDefault="00913A07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Исходные данные приведены в таблице 24.</w:t>
      </w:r>
    </w:p>
    <w:p w:rsidR="00913A07" w:rsidRPr="00913A07" w:rsidRDefault="00913A07" w:rsidP="00913A07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Постройте дерево решений и выберите наиболее целесообразный вариант проведения ГРР с точки зрения экономической </w:t>
      </w:r>
      <w:proofErr w:type="gramStart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эффективности</w:t>
      </w:r>
      <w:proofErr w:type="gramEnd"/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для нефтегазовой компании исходя из следующих рекомендаций:</w:t>
      </w:r>
    </w:p>
    <w:p w:rsidR="00913A07" w:rsidRPr="00913A07" w:rsidRDefault="00913A07" w:rsidP="00913A07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Развитие событий и оценка критерия эффективности каждой вершины дерева осуществляется от корней дерева к исходам (справа налево).</w:t>
      </w:r>
    </w:p>
    <w:p w:rsidR="00913A07" w:rsidRPr="00913A07" w:rsidRDefault="00913A07" w:rsidP="00913A07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Расчеты критериев эффективности осуществляются с учетом заданных вероятностей.</w:t>
      </w:r>
    </w:p>
    <w:p w:rsidR="00913A07" w:rsidRPr="00913A07" w:rsidRDefault="00913A07" w:rsidP="00913A07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Менее эффективные ветви отбрасываются.</w:t>
      </w:r>
    </w:p>
    <w:p w:rsidR="00913A07" w:rsidRPr="00913A07" w:rsidRDefault="00913A07" w:rsidP="00913A07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Приток чистого дисконтированного денежного дохода от разработки месторождения уменьшается на величину дисконтированных </w:t>
      </w: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расходов на проведение поисковых работ и глубокого разведочного бурения.</w:t>
      </w:r>
    </w:p>
    <w:p w:rsidR="00913A07" w:rsidRPr="00913A07" w:rsidRDefault="00913A07" w:rsidP="00913A07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13A07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ЧДД от продажи права на разведку в варианте проведения поисковых работ определяется как разница между дисконтированной выручкой от продажи права на разведку и дисконтированной величиной затрат на поисковые работы.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3"/>
        <w:gridCol w:w="797"/>
        <w:gridCol w:w="965"/>
        <w:gridCol w:w="1001"/>
        <w:gridCol w:w="796"/>
        <w:gridCol w:w="965"/>
        <w:gridCol w:w="1001"/>
        <w:gridCol w:w="796"/>
        <w:gridCol w:w="796"/>
        <w:gridCol w:w="993"/>
      </w:tblGrid>
      <w:tr w:rsidR="00913A07" w:rsidRPr="00913A07" w:rsidTr="00913A07">
        <w:trPr>
          <w:trHeight w:val="419"/>
        </w:trPr>
        <w:tc>
          <w:tcPr>
            <w:tcW w:w="0" w:type="auto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24 – Исходные данные для анализа проектных рисков методом «дерева решений», </w:t>
            </w:r>
            <w:proofErr w:type="spellStart"/>
            <w:proofErr w:type="gramStart"/>
            <w:r w:rsidRPr="00913A07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млн</w:t>
            </w:r>
            <w:proofErr w:type="spellEnd"/>
            <w:proofErr w:type="gramEnd"/>
            <w:r w:rsidRPr="00913A07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 долл.</w:t>
            </w:r>
          </w:p>
        </w:tc>
      </w:tr>
      <w:tr w:rsidR="00913A07" w:rsidRPr="00913A07" w:rsidTr="00913A07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0" w:type="auto"/>
            <w:gridSpan w:val="9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Варианты</w:t>
            </w:r>
          </w:p>
        </w:tc>
      </w:tr>
      <w:tr w:rsidR="00913A07" w:rsidRPr="00913A07" w:rsidTr="00913A0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13A07" w:rsidRPr="00913A07" w:rsidRDefault="00913A07" w:rsidP="00913A0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Проведение поисковых работ (А</w:t>
            </w:r>
            <w:proofErr w:type="gramStart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  <w:proofErr w:type="gramEnd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Отказ от проведения поисковых работ (Л</w:t>
            </w:r>
            <w:proofErr w:type="gramStart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2</w:t>
            </w:r>
            <w:proofErr w:type="gramEnd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)</w:t>
            </w:r>
          </w:p>
        </w:tc>
      </w:tr>
      <w:tr w:rsidR="00913A07" w:rsidRPr="00913A07" w:rsidTr="00913A0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13A07" w:rsidRPr="00913A07" w:rsidRDefault="00913A07" w:rsidP="00913A0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Успех (В1), (</w:t>
            </w:r>
            <w:proofErr w:type="gramStart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р</w:t>
            </w:r>
            <w:proofErr w:type="gramEnd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=0,7)</w:t>
            </w:r>
          </w:p>
        </w:tc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Неудача (В2), (</w:t>
            </w:r>
            <w:proofErr w:type="gramStart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р</w:t>
            </w:r>
            <w:proofErr w:type="gramEnd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=0,30)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13A07" w:rsidRPr="00913A07" w:rsidRDefault="00913A07" w:rsidP="00913A0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</w:tr>
      <w:tr w:rsidR="00913A07" w:rsidRPr="00913A07" w:rsidTr="00913A0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13A07" w:rsidRPr="00913A07" w:rsidRDefault="00913A07" w:rsidP="00913A0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Разведка (CI)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Продажа права на разведку (С</w:t>
            </w:r>
            <w:proofErr w:type="gramStart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2</w:t>
            </w:r>
            <w:proofErr w:type="gramEnd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Разведка (СЗ)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Продажа права на разведку (С</w:t>
            </w:r>
            <w:proofErr w:type="gramStart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4</w:t>
            </w:r>
            <w:proofErr w:type="gramEnd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Разведка  (Е</w:t>
            </w:r>
            <w:proofErr w:type="gramStart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  <w:proofErr w:type="gramEnd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Продажа права на разведку (Е</w:t>
            </w:r>
            <w:proofErr w:type="gramStart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4</w:t>
            </w:r>
            <w:proofErr w:type="gramEnd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)</w:t>
            </w:r>
          </w:p>
        </w:tc>
      </w:tr>
      <w:tr w:rsidR="00913A07" w:rsidRPr="00913A07" w:rsidTr="00913A0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13A07" w:rsidRPr="00913A07" w:rsidRDefault="00913A07" w:rsidP="00913A0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Успех (D1) (</w:t>
            </w:r>
            <w:proofErr w:type="gramStart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Р</w:t>
            </w:r>
            <w:proofErr w:type="gramEnd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=0.92)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Неудача (D2) (</w:t>
            </w:r>
            <w:proofErr w:type="gramStart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Р</w:t>
            </w:r>
            <w:proofErr w:type="gramEnd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=0.08)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13A07" w:rsidRPr="00913A07" w:rsidRDefault="00913A07" w:rsidP="00913A0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Успех (D3) (</w:t>
            </w:r>
            <w:proofErr w:type="gramStart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Р</w:t>
            </w:r>
            <w:proofErr w:type="gramEnd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=0.25)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Неудача (D4) (</w:t>
            </w:r>
            <w:proofErr w:type="gramStart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Р</w:t>
            </w:r>
            <w:proofErr w:type="gramEnd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=0.75)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13A07" w:rsidRPr="00913A07" w:rsidRDefault="00913A07" w:rsidP="00913A0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Успех (D5) (</w:t>
            </w:r>
            <w:proofErr w:type="gramStart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Р</w:t>
            </w:r>
            <w:proofErr w:type="gramEnd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=0.6)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Успех (D6) (</w:t>
            </w:r>
            <w:proofErr w:type="gramStart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Р</w:t>
            </w:r>
            <w:proofErr w:type="gramEnd"/>
            <w:r w:rsidRPr="00913A07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=0.4)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13A07" w:rsidRPr="00913A07" w:rsidRDefault="00913A07" w:rsidP="00913A0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</w:p>
        </w:tc>
      </w:tr>
      <w:tr w:rsidR="00913A07" w:rsidRPr="00913A07" w:rsidTr="00913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ЧДД добычи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913A07" w:rsidRPr="00913A07" w:rsidTr="00913A07">
        <w:tc>
          <w:tcPr>
            <w:tcW w:w="0" w:type="auto"/>
            <w:gridSpan w:val="10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 xml:space="preserve">Дисконтированная стоимость затрат </w:t>
            </w:r>
            <w:proofErr w:type="gramStart"/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на</w:t>
            </w:r>
            <w:proofErr w:type="gramEnd"/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:</w:t>
            </w:r>
          </w:p>
        </w:tc>
      </w:tr>
      <w:tr w:rsidR="00913A07" w:rsidRPr="00913A07" w:rsidTr="00913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поиск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</w:tr>
      <w:tr w:rsidR="00913A07" w:rsidRPr="00913A07" w:rsidTr="00913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разведку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12.5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913A07" w:rsidRPr="00913A07" w:rsidTr="00913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ЧДД, всего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–15,5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–15,5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–12,5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913A07" w:rsidRPr="00913A07" w:rsidTr="00913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Дисконтированная стоимость продажи права на разведку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9,0</w:t>
            </w:r>
          </w:p>
        </w:tc>
      </w:tr>
      <w:tr w:rsidR="00913A07" w:rsidRPr="00913A07" w:rsidTr="00913A0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ЧДД от продажи права на разведку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913A07" w:rsidRPr="00913A07" w:rsidRDefault="00913A07" w:rsidP="00913A07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13A07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9,0</w:t>
            </w:r>
          </w:p>
        </w:tc>
      </w:tr>
    </w:tbl>
    <w:p w:rsidR="00000355" w:rsidRDefault="00000355"/>
    <w:sectPr w:rsidR="00000355" w:rsidSect="00E13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634"/>
    <w:multiLevelType w:val="multilevel"/>
    <w:tmpl w:val="7672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E78"/>
    <w:rsid w:val="00000355"/>
    <w:rsid w:val="000B42D6"/>
    <w:rsid w:val="008C3363"/>
    <w:rsid w:val="00913A07"/>
    <w:rsid w:val="00A7193D"/>
    <w:rsid w:val="00E13763"/>
    <w:rsid w:val="00F0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2022-03-01T20:27:00Z</dcterms:created>
  <dcterms:modified xsi:type="dcterms:W3CDTF">2022-03-01T20:27:00Z</dcterms:modified>
</cp:coreProperties>
</file>